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95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left"/>
              <w:spacing w:after="0" w:line="240" w:lineRule="auto"/>
              <w:rPr>
                <w:sz w:val="24"/>
                <w:szCs w:val="24"/>
              </w:rPr>
            </w:pPr>
            <w:r>
              <w:rPr>
                <w:rFonts w:ascii="Times New Roman" w:hAnsi="Times New Roman" w:cs="Times New Roman"/>
                <w:color w:val="#000000"/>
                <w:sz w:val="24"/>
                <w:szCs w:val="24"/>
              </w:rPr>
              <w:t> Право как элемент</w:t>
            </w:r>
          </w:p>
          <w:p>
            <w:pPr>
              <w:jc w:val="left"/>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гражданско-правовых договора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охраны.Источники экологического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 Понятие</w:t>
            </w:r>
          </w:p>
          <w:p>
            <w:pPr>
              <w:jc w:val="left"/>
              <w:spacing w:after="0" w:line="240" w:lineRule="auto"/>
              <w:rPr>
                <w:sz w:val="24"/>
                <w:szCs w:val="24"/>
              </w:rPr>
            </w:pPr>
            <w:r>
              <w:rPr>
                <w:rFonts w:ascii="Times New Roman" w:hAnsi="Times New Roman" w:cs="Times New Roman"/>
                <w:color w:val="#000000"/>
                <w:sz w:val="24"/>
                <w:szCs w:val="24"/>
              </w:rPr>
              <w:t> и состав преступления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Уголовно-правовой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криминологический</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2023-2024_ФГОС3++2023_Бак-ЗФО-УП(ОТОП)(23)_plx_Правоведение</dc:title>
  <dc:creator>FastReport.NET</dc:creator>
</cp:coreProperties>
</file>